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3258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SEWERAGE AND WATER BOARD OF NEW ORLEANS</w:t>
      </w:r>
    </w:p>
    <w:p w14:paraId="28445C7F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PROCUREMENT DEPARTMENT</w:t>
      </w:r>
    </w:p>
    <w:p w14:paraId="619D37A5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Selection Committee Meeting Minutes</w:t>
      </w:r>
    </w:p>
    <w:p w14:paraId="676CA807" w14:textId="03754E22" w:rsidR="00E57C90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RFP: 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CIS Software and Services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</w:p>
    <w:p w14:paraId="53E26786" w14:textId="77777777" w:rsidR="00E57C90" w:rsidRDefault="00E57C90" w:rsidP="00E57C90">
      <w:pPr>
        <w:pBdr>
          <w:bottom w:val="single" w:sz="12" w:space="1" w:color="auto"/>
        </w:pBd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Public Meeting</w:t>
      </w:r>
    </w:p>
    <w:p w14:paraId="4719A2C4" w14:textId="415E3190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Date: 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May 21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, 2026</w:t>
      </w:r>
    </w:p>
    <w:p w14:paraId="3D861391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Location: Microsoft Teams (Public Meeting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-625 St. Joseph St., Executive Boardroom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)</w:t>
      </w:r>
    </w:p>
    <w:p w14:paraId="5BA97DC3" w14:textId="77777777" w:rsidR="00E57C90" w:rsidRDefault="00E57C90" w:rsidP="00E57C90">
      <w:pPr>
        <w:pBdr>
          <w:bottom w:val="single" w:sz="12" w:space="1" w:color="auto"/>
        </w:pBd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Recorded: Yes</w:t>
      </w:r>
    </w:p>
    <w:p w14:paraId="4DE406D4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1. Call to Order</w:t>
      </w:r>
    </w:p>
    <w:p w14:paraId="3FE6C01E" w14:textId="309BA658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The Selection Committee Meeting for the 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RFP – Program Management for the Lead Line Replacement Program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was called to order on 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May 21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, 2026,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at 2:00 p.m. (CDT)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. The meeting was conducted as a public meeting and recorded.</w:t>
      </w:r>
    </w:p>
    <w:p w14:paraId="12651538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2. Opening Remarks</w:t>
      </w:r>
    </w:p>
    <w:p w14:paraId="4AEBC269" w14:textId="4D99CBD0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M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r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Prentice </w:t>
      </w:r>
      <w:proofErr w:type="spellStart"/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Mackyeon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,</w:t>
      </w:r>
      <w:proofErr w:type="spellEnd"/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P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urchasing Agent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for the Sewerage and Water Board of New Orleans (SWBNO) Procurement Department, presided over the meeting. M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r. Mackyeon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welcomed all participants, introduced h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im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self, and informed attendees that the meeting was being recorded. Participants attending via Microsoft Teams were reminded to mute microphones to avoid interruptions.</w:t>
      </w:r>
    </w:p>
    <w:p w14:paraId="518E1168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3. Roll Call – Selection Committee Members</w:t>
      </w:r>
    </w:p>
    <w:p w14:paraId="523EA5C3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A roll call of Selection Committee members was conducted. The following members were present:</w:t>
      </w:r>
    </w:p>
    <w:p w14:paraId="486A01A8" w14:textId="3B364300" w:rsidR="00E57C90" w:rsidRPr="000A0ACA" w:rsidRDefault="00E57C90" w:rsidP="00E57C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Cathy Smith</w:t>
      </w:r>
      <w:r w:rsidRPr="000A0ACA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en-US"/>
        </w:rPr>
        <w:t>IT Director</w:t>
      </w:r>
    </w:p>
    <w:p w14:paraId="25CE5F60" w14:textId="20B4D7C8" w:rsidR="00E57C90" w:rsidRPr="000A0ACA" w:rsidRDefault="00E57C90" w:rsidP="00E57C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Renelle Brown, </w:t>
      </w:r>
      <w:r w:rsidRPr="00E57C90">
        <w:rPr>
          <w:rFonts w:asciiTheme="minorHAnsi" w:hAnsiTheme="minorHAnsi" w:cstheme="minorHAnsi"/>
          <w:sz w:val="24"/>
          <w:szCs w:val="24"/>
          <w:lang w:eastAsia="en-US"/>
        </w:rPr>
        <w:t xml:space="preserve">Chief </w:t>
      </w:r>
      <w:r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E57C90">
        <w:rPr>
          <w:rFonts w:asciiTheme="minorHAnsi" w:hAnsiTheme="minorHAnsi" w:cstheme="minorHAnsi"/>
          <w:sz w:val="24"/>
          <w:szCs w:val="24"/>
          <w:lang w:eastAsia="en-US"/>
        </w:rPr>
        <w:t>f Customer Service</w:t>
      </w:r>
    </w:p>
    <w:p w14:paraId="792DBB71" w14:textId="233E980D" w:rsidR="00E57C90" w:rsidRPr="000A0ACA" w:rsidRDefault="00E57C90" w:rsidP="00E57C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Kieth James</w:t>
      </w:r>
      <w:r w:rsidRPr="000A0ACA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proofErr w:type="gramStart"/>
      <w:r>
        <w:rPr>
          <w:rFonts w:asciiTheme="minorHAnsi" w:hAnsiTheme="minorHAnsi" w:cstheme="minorHAnsi"/>
          <w:sz w:val="24"/>
          <w:szCs w:val="24"/>
          <w:lang w:eastAsia="en-US"/>
        </w:rPr>
        <w:t>Manager Customer Service</w:t>
      </w:r>
      <w:proofErr w:type="gramEnd"/>
    </w:p>
    <w:p w14:paraId="6A7CC886" w14:textId="61163F62" w:rsidR="00E57C90" w:rsidRPr="000A0ACA" w:rsidRDefault="00E57C90" w:rsidP="00E57C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Nicole Kelly</w:t>
      </w:r>
      <w:r w:rsidRPr="000A0ACA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en-US"/>
        </w:rPr>
        <w:t>Customer Service Manager</w:t>
      </w:r>
    </w:p>
    <w:p w14:paraId="50259ADD" w14:textId="6EB5E020" w:rsidR="00E57C90" w:rsidRPr="000A0ACA" w:rsidRDefault="00E57C90" w:rsidP="00E57C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Anthony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JeanMarie</w:t>
      </w:r>
      <w:proofErr w:type="spellEnd"/>
      <w:r w:rsidRPr="000A0ACA">
        <w:rPr>
          <w:rFonts w:asciiTheme="minorHAnsi" w:hAnsiTheme="minorHAnsi" w:cstheme="minorHAnsi"/>
          <w:sz w:val="24"/>
          <w:szCs w:val="24"/>
          <w:lang w:eastAsia="en-US"/>
        </w:rPr>
        <w:t>, Environmental</w:t>
      </w:r>
    </w:p>
    <w:p w14:paraId="4DB2F67D" w14:textId="5842BC29" w:rsidR="00E57C90" w:rsidRPr="000A0ACA" w:rsidRDefault="00E57C90" w:rsidP="00E57C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Angel Johnson</w:t>
      </w:r>
      <w:r w:rsidRPr="000A0ACA">
        <w:rPr>
          <w:rFonts w:asciiTheme="minorHAnsi" w:hAnsiTheme="minorHAnsi" w:cstheme="minorHAnsi"/>
          <w:sz w:val="24"/>
          <w:szCs w:val="24"/>
          <w:lang w:eastAsia="en-US"/>
        </w:rPr>
        <w:t>, EDBP</w:t>
      </w:r>
    </w:p>
    <w:p w14:paraId="65A6E9F5" w14:textId="77777777" w:rsidR="00E57C90" w:rsidRPr="000A0ACA" w:rsidRDefault="00E57C90" w:rsidP="00E57C90">
      <w:pPr>
        <w:pStyle w:val="ListParagraph"/>
        <w:ind w:firstLine="0"/>
        <w:rPr>
          <w:sz w:val="24"/>
          <w:szCs w:val="24"/>
          <w:lang w:eastAsia="en-US"/>
        </w:rPr>
      </w:pPr>
    </w:p>
    <w:p w14:paraId="4F6A3FF5" w14:textId="77777777" w:rsidR="00E57C90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A quorum was confirmed.</w:t>
      </w:r>
    </w:p>
    <w:p w14:paraId="6927BACD" w14:textId="77777777" w:rsidR="00B16FD3" w:rsidRPr="00D812A1" w:rsidRDefault="00B16FD3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7C7EE817" w14:textId="77777777" w:rsidR="00B16FD3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lastRenderedPageBreak/>
        <w:t>4.</w:t>
      </w:r>
      <w:r w:rsidR="00B16FD3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Proposers Not Under Evaluation</w:t>
      </w:r>
    </w:p>
    <w:p w14:paraId="513AD0F3" w14:textId="057EF1D4" w:rsidR="00B16FD3" w:rsidRPr="00B16FD3" w:rsidRDefault="00B16FD3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B16FD3">
        <w:rPr>
          <w:rFonts w:ascii="Calibri" w:eastAsia="Calibri" w:hAnsi="Calibri"/>
          <w:color w:val="auto"/>
          <w:sz w:val="22"/>
          <w:szCs w:val="22"/>
          <w:lang w:eastAsia="en-US"/>
        </w:rPr>
        <w:t>The selection committee received 11 proposals. The following four (4) proposals were rejected or non-responsive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:</w:t>
      </w:r>
    </w:p>
    <w:p w14:paraId="1FA55A00" w14:textId="4B9E8F83" w:rsidR="00B16FD3" w:rsidRDefault="00B16FD3" w:rsidP="00B16FD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360S2G</w:t>
      </w:r>
    </w:p>
    <w:p w14:paraId="4BF86DC6" w14:textId="4F1AE510" w:rsidR="00B16FD3" w:rsidRDefault="00B16FD3" w:rsidP="00B16FD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Advanced Utility</w:t>
      </w:r>
    </w:p>
    <w:p w14:paraId="07355174" w14:textId="6468CFEC" w:rsidR="00B16FD3" w:rsidRDefault="00B16FD3" w:rsidP="00B16FD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Bynry</w:t>
      </w:r>
      <w:proofErr w:type="spellEnd"/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Inc.</w:t>
      </w:r>
    </w:p>
    <w:p w14:paraId="515D9C7B" w14:textId="6213A93C" w:rsidR="00B16FD3" w:rsidRPr="00B16FD3" w:rsidRDefault="00B16FD3" w:rsidP="00B16FD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Utility Solutions Partners</w:t>
      </w:r>
    </w:p>
    <w:p w14:paraId="3A247FAF" w14:textId="64C48AB5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</w:t>
      </w:r>
      <w:r w:rsidR="00B16FD3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5. 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Proposers Under Evaluation</w:t>
      </w:r>
    </w:p>
    <w:p w14:paraId="254322B6" w14:textId="3B33332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The Selection Committee confirmed that the following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seven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7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) proposers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were evaluated and scored:</w:t>
      </w:r>
    </w:p>
    <w:p w14:paraId="1B975432" w14:textId="470637CF" w:rsidR="00E57C90" w:rsidRPr="000A0ACA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Abjayon</w:t>
      </w:r>
      <w:proofErr w:type="spellEnd"/>
    </w:p>
    <w:p w14:paraId="1785BEDC" w14:textId="2431AD56" w:rsidR="00E57C90" w:rsidRPr="000A0ACA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Cayenta</w:t>
      </w:r>
      <w:proofErr w:type="spellEnd"/>
    </w:p>
    <w:p w14:paraId="00F7B659" w14:textId="7F4C3DF6" w:rsidR="00E57C90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Cogsdale</w:t>
      </w:r>
    </w:p>
    <w:p w14:paraId="2071B21E" w14:textId="395F74F5" w:rsidR="00E57C90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ESC Partners</w:t>
      </w:r>
    </w:p>
    <w:p w14:paraId="65029838" w14:textId="583A9D7E" w:rsidR="00E57C90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Northstar Utilities Solutions</w:t>
      </w:r>
    </w:p>
    <w:p w14:paraId="5C49F676" w14:textId="2CC4C34A" w:rsidR="00E57C90" w:rsidRPr="000A0ACA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Sprypoint</w:t>
      </w:r>
      <w:proofErr w:type="spellEnd"/>
    </w:p>
    <w:p w14:paraId="3A1B1F31" w14:textId="7F472AB8" w:rsidR="00E57C90" w:rsidRDefault="00E57C90" w:rsidP="00E57C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Systems and Software</w:t>
      </w:r>
    </w:p>
    <w:p w14:paraId="3D8870BF" w14:textId="77777777" w:rsidR="00E57C90" w:rsidRPr="000A0ACA" w:rsidRDefault="00E57C90" w:rsidP="00E57C90">
      <w:pPr>
        <w:pStyle w:val="ListParagraph"/>
        <w:ind w:firstLine="0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65A1B71" w14:textId="6BD202E4" w:rsidR="00E57C90" w:rsidRPr="00D812A1" w:rsidRDefault="00B16FD3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6</w:t>
      </w:r>
      <w:r w:rsidR="00E57C90"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. DBE Scoring</w:t>
      </w:r>
    </w:p>
    <w:p w14:paraId="39DB7F8A" w14:textId="2B3B4950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M</w:t>
      </w:r>
      <w:r w:rsidR="001D6C74">
        <w:rPr>
          <w:rFonts w:ascii="Calibri" w:eastAsia="Calibri" w:hAnsi="Calibri"/>
          <w:color w:val="auto"/>
          <w:sz w:val="22"/>
          <w:szCs w:val="22"/>
          <w:lang w:eastAsia="en-US"/>
        </w:rPr>
        <w:t>s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. </w:t>
      </w:r>
      <w:r w:rsidR="001D6C74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Angel Johnson 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(EDBP Department) provided </w:t>
      </w:r>
      <w:r w:rsidR="00B16FD3" w:rsidRPr="00B16FD3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DBE</w:t>
      </w:r>
      <w:r w:rsidRPr="00B16FD3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scores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for all proposers. Committee members were instructed to ensure DBE scores were included on their individual scoring sheets and factored into the final overall scores.</w:t>
      </w:r>
    </w:p>
    <w:p w14:paraId="372B8128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7. Technical Scoring Process</w:t>
      </w:r>
    </w:p>
    <w:p w14:paraId="1B06A0EB" w14:textId="4319E8D3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The Selection Committee conducted </w:t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consensus scoring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for </w:t>
      </w:r>
      <w:r w:rsidR="00B16FD3"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technical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evaluations. Members provided final scores for each proposer by </w:t>
      </w:r>
      <w:r w:rsidR="00B16FD3"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category,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and documented strengths and weaknesses as required. Any changes to scoring sheets were </w:t>
      </w:r>
      <w:proofErr w:type="gramStart"/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initialed</w:t>
      </w:r>
      <w:proofErr w:type="gramEnd"/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. All scoring sheets were signed and submitted to the Procurement Director at the conclusion of the meeting.</w:t>
      </w:r>
    </w:p>
    <w:p w14:paraId="6858127D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8. Motion to Adopt DBE and Technical Scores</w:t>
      </w:r>
    </w:p>
    <w:p w14:paraId="15CA2B51" w14:textId="77777777" w:rsidR="00E57C90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The final consensus scores were presented as follows:</w:t>
      </w:r>
    </w:p>
    <w:p w14:paraId="07EC771B" w14:textId="4BFBB8F6" w:rsidR="00E57C90" w:rsidRPr="000A0ACA" w:rsidRDefault="00B16FD3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B16FD3">
        <w:drawing>
          <wp:inline distT="0" distB="0" distL="0" distR="0" wp14:anchorId="1ED2A0A4" wp14:editId="2238F9F0">
            <wp:extent cx="6447907" cy="1704975"/>
            <wp:effectExtent l="0" t="0" r="0" b="0"/>
            <wp:docPr id="1469021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147" cy="170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1EE86" w14:textId="025D362E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lastRenderedPageBreak/>
        <w:t>Motion: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B16FD3">
        <w:rPr>
          <w:rFonts w:ascii="Calibri" w:eastAsia="Calibri" w:hAnsi="Calibri"/>
          <w:color w:val="auto"/>
          <w:sz w:val="22"/>
          <w:szCs w:val="22"/>
          <w:lang w:eastAsia="en-US"/>
        </w:rPr>
        <w:t>Cathy Smith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Second: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>Anthony Jean Marie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Public Comment: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None</w:t>
      </w:r>
    </w:p>
    <w:p w14:paraId="00484880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Vote:</w:t>
      </w:r>
    </w:p>
    <w:p w14:paraId="7012045A" w14:textId="1BF1B0A5" w:rsidR="00E57C90" w:rsidRPr="000A0ACA" w:rsidRDefault="00E57C90" w:rsidP="00E57C9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0A0ACA">
        <w:rPr>
          <w:rFonts w:asciiTheme="minorHAnsi" w:hAnsiTheme="minorHAnsi" w:cstheme="minorHAnsi"/>
          <w:sz w:val="22"/>
          <w:szCs w:val="22"/>
          <w:lang w:eastAsia="en-US"/>
        </w:rPr>
        <w:t xml:space="preserve">In Favor: </w:t>
      </w:r>
      <w:r w:rsidR="00E23E2E">
        <w:rPr>
          <w:rFonts w:asciiTheme="minorHAnsi" w:hAnsiTheme="minorHAnsi" w:cstheme="minorHAnsi"/>
          <w:sz w:val="22"/>
          <w:szCs w:val="22"/>
          <w:lang w:eastAsia="en-US"/>
        </w:rPr>
        <w:t>Renelle Brown, Keith James, Nicole Kelly</w:t>
      </w:r>
    </w:p>
    <w:p w14:paraId="7E3DF731" w14:textId="77777777" w:rsidR="00E57C90" w:rsidRDefault="00E57C90" w:rsidP="00E57C90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0A0ACA">
        <w:rPr>
          <w:rFonts w:asciiTheme="minorHAnsi" w:hAnsiTheme="minorHAnsi" w:cstheme="minorHAnsi"/>
          <w:sz w:val="22"/>
          <w:szCs w:val="22"/>
          <w:lang w:eastAsia="en-US"/>
        </w:rPr>
        <w:t>Opposed: None</w:t>
      </w:r>
    </w:p>
    <w:p w14:paraId="2A40FCD3" w14:textId="77777777" w:rsidR="00E57C90" w:rsidRPr="000A0ACA" w:rsidRDefault="00E57C90" w:rsidP="00E57C90">
      <w:pPr>
        <w:pStyle w:val="NoSpacing"/>
        <w:ind w:left="720" w:firstLine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300565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Result: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Motion carried.</w:t>
      </w:r>
    </w:p>
    <w:p w14:paraId="3F4BA5E5" w14:textId="31FD16C0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9. Motion to </w:t>
      </w:r>
      <w:r w:rsidR="00E23E2E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Cancel the RFP </w:t>
      </w:r>
    </w:p>
    <w:p w14:paraId="5428107E" w14:textId="55ED1F2D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A motion was requested to 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cancel the RFP due to low final scores and rebid at a later </w:t>
      </w:r>
    </w:p>
    <w:p w14:paraId="200D847F" w14:textId="420DEC92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Motion: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>Cathy Smith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Second: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Anthony </w:t>
      </w:r>
      <w:proofErr w:type="spellStart"/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>JeanMarie</w:t>
      </w:r>
      <w:proofErr w:type="spellEnd"/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Public Comment: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None</w:t>
      </w:r>
    </w:p>
    <w:p w14:paraId="41A0C3FE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Vote:</w:t>
      </w:r>
    </w:p>
    <w:p w14:paraId="4F8BC888" w14:textId="5C8D1DAE" w:rsidR="00E57C90" w:rsidRPr="00E23E2E" w:rsidRDefault="00E57C90" w:rsidP="00E23E2E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0A0ACA">
        <w:rPr>
          <w:rFonts w:asciiTheme="minorHAnsi" w:hAnsiTheme="minorHAnsi" w:cstheme="minorHAnsi"/>
          <w:sz w:val="22"/>
          <w:szCs w:val="22"/>
          <w:lang w:eastAsia="en-US"/>
        </w:rPr>
        <w:t xml:space="preserve">In Favor: </w:t>
      </w:r>
      <w:r w:rsidR="00E23E2E">
        <w:rPr>
          <w:rFonts w:asciiTheme="minorHAnsi" w:hAnsiTheme="minorHAnsi" w:cstheme="minorHAnsi"/>
          <w:sz w:val="22"/>
          <w:szCs w:val="22"/>
          <w:lang w:eastAsia="en-US"/>
        </w:rPr>
        <w:t>Renelle Brown, Keith James, Nicole Kelly</w:t>
      </w:r>
    </w:p>
    <w:p w14:paraId="4098DA67" w14:textId="77777777" w:rsidR="00E57C90" w:rsidRDefault="00E57C90" w:rsidP="00E57C90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0A0ACA">
        <w:rPr>
          <w:rFonts w:asciiTheme="minorHAnsi" w:hAnsiTheme="minorHAnsi" w:cstheme="minorHAnsi"/>
          <w:sz w:val="22"/>
          <w:szCs w:val="22"/>
          <w:lang w:eastAsia="en-US"/>
        </w:rPr>
        <w:t>Opposed: None</w:t>
      </w:r>
    </w:p>
    <w:p w14:paraId="42FF88D2" w14:textId="77777777" w:rsidR="00E57C90" w:rsidRPr="000A0ACA" w:rsidRDefault="00E57C90" w:rsidP="00E57C90">
      <w:pPr>
        <w:pStyle w:val="NoSpacing"/>
        <w:ind w:left="720" w:firstLine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30AD3D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Result: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Motion carried.</w:t>
      </w:r>
    </w:p>
    <w:p w14:paraId="4672EBE7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10. Closing Remarks</w:t>
      </w:r>
    </w:p>
    <w:p w14:paraId="41D0E897" w14:textId="3F204BFD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M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>r. Mackyeon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thanked the Selection Committee for their time and contributions and expressed appreciation to all vendors for their participation in the RFP process.</w:t>
      </w:r>
    </w:p>
    <w:p w14:paraId="0677C35F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11. Adjournment</w:t>
      </w:r>
    </w:p>
    <w:p w14:paraId="3B8ED72C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A motion to adjourn the meeting was requested.</w:t>
      </w:r>
    </w:p>
    <w:p w14:paraId="71E18DA5" w14:textId="751FDAD6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Motion: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Anthony </w:t>
      </w:r>
      <w:proofErr w:type="spellStart"/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>JeanMarie</w:t>
      </w:r>
      <w:proofErr w:type="spellEnd"/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Second: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E23E2E">
        <w:rPr>
          <w:rFonts w:ascii="Calibri" w:eastAsia="Calibri" w:hAnsi="Calibri"/>
          <w:color w:val="auto"/>
          <w:sz w:val="22"/>
          <w:szCs w:val="22"/>
          <w:lang w:eastAsia="en-US"/>
        </w:rPr>
        <w:t>Cathy Smith</w:t>
      </w:r>
    </w:p>
    <w:p w14:paraId="7503EAE6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Vote:</w:t>
      </w:r>
    </w:p>
    <w:p w14:paraId="169F9851" w14:textId="77777777" w:rsidR="00E23E2E" w:rsidRPr="000A0ACA" w:rsidRDefault="00E57C90" w:rsidP="00E23E2E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In Favor: </w:t>
      </w:r>
      <w:r w:rsidR="00E23E2E">
        <w:rPr>
          <w:rFonts w:asciiTheme="minorHAnsi" w:hAnsiTheme="minorHAnsi" w:cstheme="minorHAnsi"/>
          <w:sz w:val="22"/>
          <w:szCs w:val="22"/>
          <w:lang w:eastAsia="en-US"/>
        </w:rPr>
        <w:t>Renelle Brown, Keith James, Nicole Kelly</w:t>
      </w:r>
    </w:p>
    <w:p w14:paraId="3257726A" w14:textId="03A322D6" w:rsidR="00E57C90" w:rsidRPr="00D812A1" w:rsidRDefault="00E57C90" w:rsidP="00E23E2E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5FCD25E5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t>The meeting was adjourned.</w:t>
      </w:r>
    </w:p>
    <w:p w14:paraId="5C33B6C7" w14:textId="77777777" w:rsidR="00E57C90" w:rsidRPr="00D812A1" w:rsidRDefault="00377C65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pict w14:anchorId="1A230E30">
          <v:rect id="_x0000_i1025" style="width:0;height:1.5pt" o:hralign="center" o:hrstd="t" o:hr="t" fillcolor="#a0a0a0" stroked="f"/>
        </w:pict>
      </w:r>
    </w:p>
    <w:p w14:paraId="46F7E269" w14:textId="34A4728B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812A1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Meeting Adjourned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at </w:t>
      </w:r>
      <w:r w:rsidR="0089643B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10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:</w:t>
      </w:r>
      <w:r w:rsidR="0089643B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22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 xml:space="preserve"> </w:t>
      </w:r>
      <w:r w:rsidR="0089643B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a</w:t>
      </w:r>
      <w: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.m. (CDT)</w:t>
      </w:r>
      <w:r w:rsidRPr="00D812A1">
        <w:rPr>
          <w:rFonts w:ascii="Calibri" w:eastAsia="Calibri" w:hAnsi="Calibri"/>
          <w:color w:val="auto"/>
          <w:sz w:val="22"/>
          <w:szCs w:val="22"/>
          <w:lang w:eastAsia="en-US"/>
        </w:rPr>
        <w:br/>
        <w:t>Participants were instructed to turn off microphones and stop the recording.</w:t>
      </w:r>
    </w:p>
    <w:p w14:paraId="2EB5A220" w14:textId="77777777" w:rsidR="00E57C90" w:rsidRDefault="00E57C90" w:rsidP="00E57C90">
      <w:pPr>
        <w:tabs>
          <w:tab w:val="left" w:pos="1624"/>
        </w:tabs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9196026" w14:textId="77777777" w:rsidR="00E57C90" w:rsidRDefault="00E57C90" w:rsidP="00E57C9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8A3FF6" w14:textId="77777777" w:rsidR="00E57C90" w:rsidRDefault="00E57C90" w:rsidP="00E57C90">
      <w:pPr>
        <w:jc w:val="left"/>
        <w:rPr>
          <w:rFonts w:ascii="Arial" w:hAnsi="Arial" w:cs="Arial"/>
        </w:rPr>
      </w:pPr>
    </w:p>
    <w:p w14:paraId="2BC49603" w14:textId="77777777" w:rsidR="00E57C90" w:rsidRDefault="00E57C90" w:rsidP="00E57C90">
      <w:pPr>
        <w:jc w:val="left"/>
        <w:rPr>
          <w:rFonts w:ascii="Arial" w:hAnsi="Arial" w:cs="Arial"/>
        </w:rPr>
      </w:pPr>
    </w:p>
    <w:p w14:paraId="48FB5BE5" w14:textId="77777777" w:rsidR="00E57C90" w:rsidRPr="00D812A1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</w:p>
    <w:p w14:paraId="0F8617F6" w14:textId="77777777" w:rsidR="00E57C90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346A1E4D" w14:textId="77777777" w:rsidR="00E57C90" w:rsidRDefault="00E57C90" w:rsidP="00E57C90">
      <w:pPr>
        <w:spacing w:after="160" w:line="259" w:lineRule="auto"/>
        <w:ind w:left="0" w:firstLine="0"/>
        <w:jc w:val="lef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sectPr w:rsidR="00E57C90" w:rsidSect="00EF1AFC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3BB7" w14:textId="77777777" w:rsidR="00377C65" w:rsidRDefault="00377C65">
      <w:pPr>
        <w:spacing w:after="0" w:line="240" w:lineRule="auto"/>
      </w:pPr>
      <w:r>
        <w:separator/>
      </w:r>
    </w:p>
  </w:endnote>
  <w:endnote w:type="continuationSeparator" w:id="0">
    <w:p w14:paraId="6B6872B4" w14:textId="77777777" w:rsidR="00377C65" w:rsidRDefault="0037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126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151D9" w14:textId="65F47A2A" w:rsidR="00EF1AFC" w:rsidRDefault="00377C65">
        <w:pPr>
          <w:pStyle w:val="Footer"/>
          <w:jc w:val="right"/>
        </w:pPr>
      </w:p>
    </w:sdtContent>
  </w:sdt>
  <w:p w14:paraId="058A1A2A" w14:textId="77777777" w:rsidR="009E7536" w:rsidRPr="009E7536" w:rsidRDefault="009E7536" w:rsidP="009E753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B59C" w14:textId="77777777" w:rsidR="00377C65" w:rsidRDefault="00377C65">
      <w:pPr>
        <w:spacing w:after="0" w:line="240" w:lineRule="auto"/>
      </w:pPr>
      <w:r>
        <w:separator/>
      </w:r>
    </w:p>
  </w:footnote>
  <w:footnote w:type="continuationSeparator" w:id="0">
    <w:p w14:paraId="42D157D8" w14:textId="77777777" w:rsidR="00377C65" w:rsidRDefault="0037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9C02" w14:textId="31A1705A" w:rsidR="002762AE" w:rsidRDefault="00456466" w:rsidP="00956319">
    <w:pPr>
      <w:tabs>
        <w:tab w:val="left" w:pos="0"/>
      </w:tabs>
      <w:spacing w:after="58"/>
      <w:ind w:left="0" w:right="-270" w:firstLine="0"/>
      <w:jc w:val="right"/>
      <w:rPr>
        <w:rFonts w:ascii="Arial" w:hAnsi="Arial" w:cs="Arial"/>
        <w:b/>
        <w:bCs/>
        <w:i/>
        <w:iCs/>
        <w:sz w:val="30"/>
        <w:szCs w:val="30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0" wp14:anchorId="60069462" wp14:editId="59D8516F">
          <wp:simplePos x="0" y="0"/>
          <wp:positionH relativeFrom="column">
            <wp:posOffset>-657225</wp:posOffset>
          </wp:positionH>
          <wp:positionV relativeFrom="paragraph">
            <wp:posOffset>-8255</wp:posOffset>
          </wp:positionV>
          <wp:extent cx="1264920" cy="12649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04">
      <w:rPr>
        <w:rFonts w:ascii="Arial" w:hAnsi="Arial" w:cs="Arial"/>
        <w:b/>
        <w:bCs/>
        <w:i/>
        <w:iCs/>
        <w:sz w:val="53"/>
        <w:szCs w:val="53"/>
      </w:rPr>
      <w:t xml:space="preserve">The </w:t>
    </w:r>
    <w:r w:rsidR="00875263">
      <w:rPr>
        <w:rFonts w:ascii="Arial" w:hAnsi="Arial" w:cs="Arial"/>
        <w:b/>
        <w:bCs/>
        <w:i/>
        <w:iCs/>
        <w:sz w:val="53"/>
        <w:szCs w:val="53"/>
      </w:rPr>
      <w:t xml:space="preserve">Sewerage &amp; Water Board                                </w:t>
    </w:r>
    <w:r w:rsidR="00055E04">
      <w:rPr>
        <w:rFonts w:ascii="Arial" w:hAnsi="Arial" w:cs="Arial"/>
        <w:b/>
        <w:bCs/>
        <w:i/>
        <w:iCs/>
        <w:sz w:val="53"/>
        <w:szCs w:val="53"/>
      </w:rPr>
      <w:t xml:space="preserve">    </w:t>
    </w:r>
    <w:r w:rsidR="00875263">
      <w:rPr>
        <w:rFonts w:ascii="Arial" w:hAnsi="Arial" w:cs="Arial"/>
        <w:b/>
        <w:bCs/>
        <w:i/>
        <w:iCs/>
        <w:sz w:val="53"/>
        <w:szCs w:val="53"/>
      </w:rPr>
      <w:t xml:space="preserve"> </w:t>
    </w:r>
    <w:r w:rsidR="00875263">
      <w:rPr>
        <w:rFonts w:ascii="Arial" w:hAnsi="Arial" w:cs="Arial"/>
        <w:b/>
        <w:bCs/>
        <w:i/>
        <w:iCs/>
        <w:sz w:val="30"/>
        <w:szCs w:val="30"/>
      </w:rPr>
      <w:t xml:space="preserve">OF NEW ORLEANS </w:t>
    </w:r>
  </w:p>
  <w:p w14:paraId="7B57D077" w14:textId="26E698DA" w:rsidR="002762AE" w:rsidRDefault="00875263" w:rsidP="00456466">
    <w:pPr>
      <w:spacing w:after="120" w:line="240" w:lineRule="auto"/>
      <w:ind w:left="7200" w:right="-270" w:firstLine="0"/>
      <w:jc w:val="right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>625 ST. JOSEPH STREET</w:t>
    </w:r>
  </w:p>
  <w:p w14:paraId="7782B833" w14:textId="2B3D3745" w:rsidR="00456466" w:rsidRPr="00DA3239" w:rsidRDefault="00456466" w:rsidP="00456466">
    <w:pPr>
      <w:spacing w:after="120" w:line="240" w:lineRule="auto"/>
      <w:ind w:left="7200" w:right="-270" w:firstLine="0"/>
      <w:jc w:val="right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>NEW ORLEANS, LA 70165</w:t>
    </w:r>
  </w:p>
  <w:p w14:paraId="72E559F7" w14:textId="77777777" w:rsidR="002762AE" w:rsidRDefault="00875263" w:rsidP="00456466">
    <w:pPr>
      <w:spacing w:after="120" w:line="240" w:lineRule="auto"/>
      <w:ind w:left="8194" w:right="-270" w:hanging="6984"/>
      <w:jc w:val="right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 xml:space="preserve">504.529.2837 OR </w:t>
    </w:r>
    <w:proofErr w:type="gramStart"/>
    <w:r>
      <w:rPr>
        <w:rFonts w:ascii="Arial" w:hAnsi="Arial" w:cs="Arial"/>
        <w:b/>
        <w:bCs/>
        <w:i/>
        <w:iCs/>
        <w:sz w:val="16"/>
        <w:szCs w:val="16"/>
      </w:rPr>
      <w:t>52.WATER</w:t>
    </w:r>
    <w:proofErr w:type="gramEnd"/>
  </w:p>
  <w:p w14:paraId="63B958EE" w14:textId="77777777" w:rsidR="002762AE" w:rsidRPr="00963309" w:rsidRDefault="00875263" w:rsidP="00456466">
    <w:pPr>
      <w:spacing w:after="120" w:line="240" w:lineRule="auto"/>
      <w:ind w:left="8194" w:right="-270" w:hanging="6984"/>
      <w:jc w:val="right"/>
      <w:rPr>
        <w:rFonts w:ascii="Arial" w:hAnsi="Arial" w:cs="Arial"/>
        <w:b/>
        <w:bCs/>
        <w:i/>
        <w:iCs/>
        <w:sz w:val="16"/>
        <w:szCs w:val="16"/>
      </w:rPr>
    </w:pPr>
    <w:hyperlink r:id="rId2" w:history="1">
      <w:r w:rsidRPr="0087488B">
        <w:rPr>
          <w:rStyle w:val="Hyperlink"/>
          <w:rFonts w:ascii="Arial" w:hAnsi="Arial" w:cs="Arial"/>
          <w:b/>
          <w:bCs/>
          <w:i/>
          <w:iCs/>
          <w:sz w:val="16"/>
          <w:szCs w:val="16"/>
        </w:rPr>
        <w:t>www.swbno.org</w:t>
      </w:r>
    </w:hyperlink>
  </w:p>
  <w:p w14:paraId="667E2F46" w14:textId="77777777" w:rsidR="00456466" w:rsidRDefault="00456466" w:rsidP="00456466">
    <w:pPr>
      <w:ind w:righ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E07"/>
    <w:multiLevelType w:val="hybridMultilevel"/>
    <w:tmpl w:val="6A18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9B2"/>
    <w:multiLevelType w:val="multilevel"/>
    <w:tmpl w:val="D8B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008FB"/>
    <w:multiLevelType w:val="hybridMultilevel"/>
    <w:tmpl w:val="498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C5D7D"/>
    <w:multiLevelType w:val="multilevel"/>
    <w:tmpl w:val="770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B695C"/>
    <w:multiLevelType w:val="multilevel"/>
    <w:tmpl w:val="6EB6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C1CEE"/>
    <w:multiLevelType w:val="hybridMultilevel"/>
    <w:tmpl w:val="2D08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9DD"/>
    <w:multiLevelType w:val="hybridMultilevel"/>
    <w:tmpl w:val="B204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427E"/>
    <w:multiLevelType w:val="hybridMultilevel"/>
    <w:tmpl w:val="43E6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3822"/>
    <w:multiLevelType w:val="hybridMultilevel"/>
    <w:tmpl w:val="7A5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16B9F"/>
    <w:multiLevelType w:val="hybridMultilevel"/>
    <w:tmpl w:val="F10C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1B17"/>
    <w:multiLevelType w:val="multilevel"/>
    <w:tmpl w:val="037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D51B6"/>
    <w:multiLevelType w:val="multilevel"/>
    <w:tmpl w:val="E0AA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17F1F"/>
    <w:multiLevelType w:val="multilevel"/>
    <w:tmpl w:val="518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317460">
    <w:abstractNumId w:val="2"/>
  </w:num>
  <w:num w:numId="2" w16cid:durableId="1655527039">
    <w:abstractNumId w:val="0"/>
  </w:num>
  <w:num w:numId="3" w16cid:durableId="2043750778">
    <w:abstractNumId w:val="4"/>
  </w:num>
  <w:num w:numId="4" w16cid:durableId="755057454">
    <w:abstractNumId w:val="11"/>
  </w:num>
  <w:num w:numId="5" w16cid:durableId="1507477012">
    <w:abstractNumId w:val="12"/>
  </w:num>
  <w:num w:numId="6" w16cid:durableId="919173966">
    <w:abstractNumId w:val="1"/>
  </w:num>
  <w:num w:numId="7" w16cid:durableId="1401094272">
    <w:abstractNumId w:val="10"/>
  </w:num>
  <w:num w:numId="8" w16cid:durableId="1037122638">
    <w:abstractNumId w:val="3"/>
  </w:num>
  <w:num w:numId="9" w16cid:durableId="1557472376">
    <w:abstractNumId w:val="5"/>
  </w:num>
  <w:num w:numId="10" w16cid:durableId="1254970638">
    <w:abstractNumId w:val="6"/>
  </w:num>
  <w:num w:numId="11" w16cid:durableId="1816485872">
    <w:abstractNumId w:val="8"/>
  </w:num>
  <w:num w:numId="12" w16cid:durableId="725877692">
    <w:abstractNumId w:val="9"/>
  </w:num>
  <w:num w:numId="13" w16cid:durableId="106012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63"/>
    <w:rsid w:val="0001072D"/>
    <w:rsid w:val="00055E04"/>
    <w:rsid w:val="000714DF"/>
    <w:rsid w:val="000A67EB"/>
    <w:rsid w:val="000F08F6"/>
    <w:rsid w:val="00121A1E"/>
    <w:rsid w:val="001417C3"/>
    <w:rsid w:val="00176F6A"/>
    <w:rsid w:val="001A236B"/>
    <w:rsid w:val="001D6C74"/>
    <w:rsid w:val="001F5DF0"/>
    <w:rsid w:val="002762AE"/>
    <w:rsid w:val="003405C3"/>
    <w:rsid w:val="003742EA"/>
    <w:rsid w:val="00377C65"/>
    <w:rsid w:val="003810BF"/>
    <w:rsid w:val="003F7C38"/>
    <w:rsid w:val="00452EDA"/>
    <w:rsid w:val="00456466"/>
    <w:rsid w:val="0049755D"/>
    <w:rsid w:val="004E4797"/>
    <w:rsid w:val="004E61C6"/>
    <w:rsid w:val="004F1981"/>
    <w:rsid w:val="00535C97"/>
    <w:rsid w:val="00552173"/>
    <w:rsid w:val="006125FE"/>
    <w:rsid w:val="00623E68"/>
    <w:rsid w:val="00650F24"/>
    <w:rsid w:val="006D3EF8"/>
    <w:rsid w:val="006D50D5"/>
    <w:rsid w:val="006D5EF8"/>
    <w:rsid w:val="00733FAF"/>
    <w:rsid w:val="00775155"/>
    <w:rsid w:val="007814E9"/>
    <w:rsid w:val="007D2128"/>
    <w:rsid w:val="007D79F8"/>
    <w:rsid w:val="00816D7D"/>
    <w:rsid w:val="00824234"/>
    <w:rsid w:val="0086049D"/>
    <w:rsid w:val="008671DA"/>
    <w:rsid w:val="00875263"/>
    <w:rsid w:val="0089643B"/>
    <w:rsid w:val="008B7A97"/>
    <w:rsid w:val="008C64AA"/>
    <w:rsid w:val="008F008D"/>
    <w:rsid w:val="009108C0"/>
    <w:rsid w:val="00912083"/>
    <w:rsid w:val="00923813"/>
    <w:rsid w:val="00956319"/>
    <w:rsid w:val="009975C0"/>
    <w:rsid w:val="009E7536"/>
    <w:rsid w:val="00AF1EFE"/>
    <w:rsid w:val="00B16FD3"/>
    <w:rsid w:val="00B45D1B"/>
    <w:rsid w:val="00B71408"/>
    <w:rsid w:val="00B769B2"/>
    <w:rsid w:val="00BB154E"/>
    <w:rsid w:val="00BE7AE2"/>
    <w:rsid w:val="00BE7DCF"/>
    <w:rsid w:val="00C410F0"/>
    <w:rsid w:val="00C52476"/>
    <w:rsid w:val="00C9356F"/>
    <w:rsid w:val="00CB0DB6"/>
    <w:rsid w:val="00CD51C2"/>
    <w:rsid w:val="00CD552C"/>
    <w:rsid w:val="00D04A53"/>
    <w:rsid w:val="00DB01AD"/>
    <w:rsid w:val="00E05CD6"/>
    <w:rsid w:val="00E23E2E"/>
    <w:rsid w:val="00E24460"/>
    <w:rsid w:val="00E521F7"/>
    <w:rsid w:val="00E57C90"/>
    <w:rsid w:val="00E83900"/>
    <w:rsid w:val="00EA2E24"/>
    <w:rsid w:val="00EB222F"/>
    <w:rsid w:val="00EF1AFC"/>
    <w:rsid w:val="00F006AA"/>
    <w:rsid w:val="00F875F4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B3C1E"/>
  <w15:docId w15:val="{EC8DB489-8942-4653-8E4D-424AF148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263"/>
    <w:pPr>
      <w:spacing w:after="4" w:line="252" w:lineRule="auto"/>
      <w:ind w:left="10" w:hanging="10"/>
      <w:jc w:val="both"/>
    </w:pPr>
    <w:rPr>
      <w:rFonts w:ascii="Times New Roman" w:eastAsia="MS PGothic" w:hAnsi="Times New Roman" w:cs="Times New Roman"/>
      <w:color w:val="000000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26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04"/>
    <w:rPr>
      <w:rFonts w:ascii="Times New Roman" w:eastAsia="MS PGothic" w:hAnsi="Times New Roman" w:cs="Times New Roman"/>
      <w:color w:val="000000"/>
      <w:sz w:val="28"/>
      <w:szCs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5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E04"/>
    <w:rPr>
      <w:rFonts w:ascii="Times New Roman" w:eastAsia="MS PGothic" w:hAnsi="Times New Roman" w:cs="Times New Roman"/>
      <w:color w:val="000000"/>
      <w:sz w:val="28"/>
      <w:szCs w:val="28"/>
      <w:lang w:eastAsia="ja-JP"/>
    </w:rPr>
  </w:style>
  <w:style w:type="paragraph" w:customStyle="1" w:styleId="Default">
    <w:name w:val="Default"/>
    <w:rsid w:val="006D5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64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34"/>
    <w:rPr>
      <w:rFonts w:ascii="Segoe UI" w:eastAsia="MS PGothic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E57C90"/>
    <w:pPr>
      <w:ind w:left="720"/>
      <w:contextualSpacing/>
    </w:pPr>
  </w:style>
  <w:style w:type="paragraph" w:styleId="NoSpacing">
    <w:name w:val="No Spacing"/>
    <w:uiPriority w:val="1"/>
    <w:qFormat/>
    <w:rsid w:val="00E57C90"/>
    <w:pPr>
      <w:spacing w:after="0" w:line="240" w:lineRule="auto"/>
      <w:ind w:left="10" w:hanging="10"/>
      <w:jc w:val="both"/>
    </w:pPr>
    <w:rPr>
      <w:rFonts w:ascii="Times New Roman" w:eastAsia="MS PGothic" w:hAnsi="Times New Roman" w:cs="Times New Roman"/>
      <w:color w:val="00000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bno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0FE2-9830-436F-AC32-2869FC06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SWBNO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RAINEY, Richard</dc:creator>
  <cp:keywords/>
  <dc:description/>
  <cp:lastModifiedBy>MACKYEON, Prentice</cp:lastModifiedBy>
  <cp:revision>3</cp:revision>
  <cp:lastPrinted>2022-05-03T21:31:00Z</cp:lastPrinted>
  <dcterms:created xsi:type="dcterms:W3CDTF">2026-06-23T21:29:00Z</dcterms:created>
  <dcterms:modified xsi:type="dcterms:W3CDTF">2026-06-24T14:52:00Z</dcterms:modified>
</cp:coreProperties>
</file>